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11A" w:rsidRPr="002543DB" w:rsidRDefault="0026211A" w:rsidP="0026211A">
      <w:pPr>
        <w:pStyle w:val="Heading3"/>
        <w:rPr>
          <w:rStyle w:val="Heading3Char"/>
          <w:b/>
        </w:rPr>
      </w:pPr>
      <w:bookmarkStart w:id="0" w:name="_Toc415730979"/>
      <w:r w:rsidRPr="002543DB">
        <w:rPr>
          <w:rStyle w:val="Heading3Char"/>
          <w:b/>
        </w:rPr>
        <w:t>Stem Decay (Heart and Butt Rots)</w:t>
      </w:r>
      <w:bookmarkEnd w:id="0"/>
      <w:r w:rsidRPr="002543DB">
        <w:rPr>
          <w:rStyle w:val="Heading3Char"/>
          <w:b/>
        </w:rPr>
        <w:t xml:space="preserve"> </w:t>
      </w:r>
    </w:p>
    <w:p w:rsidR="0026211A" w:rsidRDefault="0026211A" w:rsidP="0026211A">
      <w:pPr>
        <w:pStyle w:val="Default"/>
        <w:rPr>
          <w:bCs/>
          <w:i/>
          <w:iCs/>
          <w:sz w:val="22"/>
          <w:szCs w:val="22"/>
        </w:rPr>
      </w:pPr>
      <w:r w:rsidRPr="00F37FA6">
        <w:rPr>
          <w:bCs/>
          <w:i/>
          <w:iCs/>
          <w:sz w:val="22"/>
          <w:szCs w:val="22"/>
        </w:rPr>
        <w:t xml:space="preserve">Medium to Low priority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50"/>
      </w:tblGrid>
      <w:tr w:rsidR="00A42664" w:rsidTr="00A42664">
        <w:tc>
          <w:tcPr>
            <w:tcW w:w="0" w:type="auto"/>
          </w:tcPr>
          <w:p w:rsidR="00A42664" w:rsidRDefault="00A42664" w:rsidP="00A42664">
            <w:pPr>
              <w:pStyle w:val="Default"/>
              <w:contextualSpacing/>
              <w:rPr>
                <w:rFonts w:asciiTheme="minorHAnsi" w:hAnsiTheme="minorHAnsi"/>
                <w:sz w:val="23"/>
                <w:szCs w:val="23"/>
              </w:rPr>
            </w:pPr>
            <w:r w:rsidRPr="00247ADA">
              <w:rPr>
                <w:rFonts w:asciiTheme="minorHAnsi" w:hAnsiTheme="minorHAnsi"/>
                <w:sz w:val="23"/>
                <w:szCs w:val="23"/>
              </w:rPr>
              <w:t>Brown crumbly rot (</w:t>
            </w:r>
            <w:proofErr w:type="spellStart"/>
            <w:r w:rsidRPr="00247ADA">
              <w:rPr>
                <w:rFonts w:asciiTheme="minorHAnsi" w:hAnsiTheme="minorHAnsi"/>
                <w:i/>
                <w:iCs/>
                <w:sz w:val="23"/>
                <w:szCs w:val="23"/>
              </w:rPr>
              <w:t>Fomitopsis</w:t>
            </w:r>
            <w:proofErr w:type="spellEnd"/>
            <w:r w:rsidRPr="00247ADA">
              <w:rPr>
                <w:rFonts w:asciiTheme="minorHAnsi" w:hAnsiTheme="minorHAnsi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247ADA">
              <w:rPr>
                <w:rFonts w:asciiTheme="minorHAnsi" w:hAnsiTheme="minorHAnsi"/>
                <w:i/>
                <w:iCs/>
                <w:sz w:val="23"/>
                <w:szCs w:val="23"/>
              </w:rPr>
              <w:t>pinicola</w:t>
            </w:r>
            <w:proofErr w:type="spellEnd"/>
            <w:r w:rsidRPr="00247ADA">
              <w:rPr>
                <w:rFonts w:asciiTheme="minorHAnsi" w:hAnsiTheme="minorHAnsi"/>
                <w:i/>
                <w:iCs/>
                <w:sz w:val="23"/>
                <w:szCs w:val="23"/>
              </w:rPr>
              <w:t xml:space="preserve">) </w:t>
            </w:r>
            <w:r w:rsidR="00D51277" w:rsidRPr="00D51277">
              <w:rPr>
                <w:rFonts w:asciiTheme="minorHAnsi" w:hAnsiTheme="minorHAnsi"/>
                <w:iCs/>
                <w:sz w:val="23"/>
                <w:szCs w:val="23"/>
              </w:rPr>
              <w:t>DDF</w:t>
            </w:r>
          </w:p>
        </w:tc>
      </w:tr>
      <w:tr w:rsidR="00A42664" w:rsidTr="00A42664">
        <w:tc>
          <w:tcPr>
            <w:tcW w:w="0" w:type="auto"/>
          </w:tcPr>
          <w:p w:rsidR="00A42664" w:rsidRDefault="00A42664" w:rsidP="00A42664">
            <w:pPr>
              <w:pStyle w:val="Default"/>
              <w:contextualSpacing/>
              <w:rPr>
                <w:rFonts w:asciiTheme="minorHAnsi" w:hAnsiTheme="minorHAnsi"/>
                <w:sz w:val="23"/>
                <w:szCs w:val="23"/>
              </w:rPr>
            </w:pPr>
            <w:r w:rsidRPr="00247ADA">
              <w:rPr>
                <w:rFonts w:asciiTheme="minorHAnsi" w:hAnsiTheme="minorHAnsi"/>
                <w:sz w:val="23"/>
                <w:szCs w:val="23"/>
              </w:rPr>
              <w:t>Brown str</w:t>
            </w:r>
            <w:r w:rsidRPr="00247ADA">
              <w:rPr>
                <w:rFonts w:asciiTheme="minorHAnsi" w:hAnsiTheme="minorHAnsi"/>
                <w:i/>
                <w:sz w:val="23"/>
                <w:szCs w:val="23"/>
              </w:rPr>
              <w:t>ingy trunk rot/Indian paint fungus</w:t>
            </w:r>
            <w:r w:rsidRPr="00247ADA">
              <w:rPr>
                <w:rFonts w:asciiTheme="minorHAnsi" w:hAnsiTheme="minorHAnsi" w:cs="Arial"/>
                <w:i/>
                <w:sz w:val="23"/>
                <w:szCs w:val="23"/>
              </w:rPr>
              <w:t xml:space="preserve"> (</w:t>
            </w:r>
            <w:proofErr w:type="spellStart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Echinodontium</w:t>
            </w:r>
            <w:proofErr w:type="spellEnd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 xml:space="preserve"> </w:t>
            </w:r>
            <w:proofErr w:type="spellStart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tinctorium</w:t>
            </w:r>
            <w:proofErr w:type="spellEnd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)</w:t>
            </w:r>
            <w:r w:rsidR="00D51277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 xml:space="preserve"> </w:t>
            </w:r>
            <w:r w:rsidR="00D51277" w:rsidRPr="00D51277">
              <w:rPr>
                <w:rStyle w:val="Heading3Char"/>
                <w:rFonts w:asciiTheme="minorHAnsi" w:hAnsiTheme="minorHAnsi"/>
                <w:b w:val="0"/>
                <w:i w:val="0"/>
                <w:sz w:val="23"/>
                <w:szCs w:val="23"/>
              </w:rPr>
              <w:t>DDE</w:t>
            </w:r>
          </w:p>
        </w:tc>
      </w:tr>
      <w:tr w:rsidR="00A42664" w:rsidTr="00A42664">
        <w:tc>
          <w:tcPr>
            <w:tcW w:w="0" w:type="auto"/>
          </w:tcPr>
          <w:p w:rsidR="00A42664" w:rsidRDefault="00A42664" w:rsidP="00A42664">
            <w:pPr>
              <w:pStyle w:val="Default"/>
              <w:contextualSpacing/>
              <w:rPr>
                <w:rFonts w:asciiTheme="minorHAnsi" w:hAnsiTheme="minorHAnsi"/>
                <w:sz w:val="23"/>
                <w:szCs w:val="23"/>
              </w:rPr>
            </w:pPr>
            <w:r w:rsidRPr="00247ADA">
              <w:rPr>
                <w:rFonts w:asciiTheme="minorHAnsi" w:hAnsiTheme="minorHAnsi"/>
                <w:sz w:val="23"/>
                <w:szCs w:val="23"/>
              </w:rPr>
              <w:t>Red ring rot</w:t>
            </w:r>
            <w:r w:rsidRPr="00247ADA">
              <w:rPr>
                <w:rFonts w:asciiTheme="minorHAnsi" w:hAnsiTheme="minorHAnsi"/>
                <w:i/>
                <w:sz w:val="23"/>
                <w:szCs w:val="23"/>
              </w:rPr>
              <w:t xml:space="preserve"> </w:t>
            </w:r>
            <w:r w:rsidRPr="00247ADA">
              <w:rPr>
                <w:rFonts w:asciiTheme="minorHAnsi" w:hAnsiTheme="minorHAnsi" w:cs="Arial"/>
                <w:i/>
                <w:sz w:val="23"/>
                <w:szCs w:val="23"/>
              </w:rPr>
              <w:t>(</w:t>
            </w:r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 xml:space="preserve">Phellinus </w:t>
            </w:r>
            <w:proofErr w:type="spellStart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pini</w:t>
            </w:r>
            <w:proofErr w:type="spellEnd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)</w:t>
            </w:r>
            <w:r w:rsidR="00D51277" w:rsidRPr="00D51277">
              <w:rPr>
                <w:rStyle w:val="Heading3Char"/>
                <w:rFonts w:asciiTheme="minorHAnsi" w:hAnsiTheme="minorHAnsi"/>
                <w:b w:val="0"/>
                <w:i w:val="0"/>
                <w:sz w:val="23"/>
                <w:szCs w:val="23"/>
              </w:rPr>
              <w:t xml:space="preserve"> DDP</w:t>
            </w:r>
          </w:p>
        </w:tc>
      </w:tr>
      <w:tr w:rsidR="00A42664" w:rsidTr="00A42664">
        <w:tc>
          <w:tcPr>
            <w:tcW w:w="0" w:type="auto"/>
          </w:tcPr>
          <w:p w:rsidR="00A42664" w:rsidRPr="00D51277" w:rsidRDefault="00A42664" w:rsidP="00A42664">
            <w:pPr>
              <w:pStyle w:val="Default"/>
              <w:contextualSpacing/>
              <w:rPr>
                <w:rFonts w:asciiTheme="minorHAnsi" w:hAnsiTheme="minorHAnsi"/>
                <w:sz w:val="23"/>
                <w:szCs w:val="23"/>
              </w:rPr>
            </w:pPr>
            <w:proofErr w:type="spellStart"/>
            <w:r w:rsidRPr="00247ADA">
              <w:rPr>
                <w:rFonts w:asciiTheme="minorHAnsi" w:hAnsiTheme="minorHAnsi"/>
                <w:sz w:val="23"/>
                <w:szCs w:val="23"/>
              </w:rPr>
              <w:t>Schweinitzii</w:t>
            </w:r>
            <w:proofErr w:type="spellEnd"/>
            <w:r w:rsidRPr="00247ADA">
              <w:rPr>
                <w:rFonts w:asciiTheme="minorHAnsi" w:hAnsiTheme="minorHAnsi"/>
                <w:sz w:val="23"/>
                <w:szCs w:val="23"/>
              </w:rPr>
              <w:t xml:space="preserve"> butt rot</w:t>
            </w:r>
            <w:r w:rsidRPr="00247ADA">
              <w:rPr>
                <w:rFonts w:asciiTheme="minorHAnsi" w:hAnsiTheme="minorHAnsi" w:cs="Arial"/>
                <w:i/>
                <w:sz w:val="23"/>
                <w:szCs w:val="23"/>
              </w:rPr>
              <w:t xml:space="preserve"> (</w:t>
            </w:r>
            <w:proofErr w:type="spellStart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Phaeolus</w:t>
            </w:r>
            <w:proofErr w:type="spellEnd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 xml:space="preserve"> </w:t>
            </w:r>
            <w:proofErr w:type="spellStart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schweinitzii</w:t>
            </w:r>
            <w:proofErr w:type="spellEnd"/>
            <w:r w:rsidRPr="00247ADA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>)</w:t>
            </w:r>
            <w:r w:rsidR="00D51277">
              <w:rPr>
                <w:rStyle w:val="Heading3Char"/>
                <w:rFonts w:asciiTheme="minorHAnsi" w:hAnsiTheme="minorHAnsi"/>
                <w:b w:val="0"/>
                <w:sz w:val="23"/>
                <w:szCs w:val="23"/>
              </w:rPr>
              <w:t xml:space="preserve"> </w:t>
            </w:r>
            <w:r w:rsidR="00D51277">
              <w:rPr>
                <w:rStyle w:val="Heading3Char"/>
                <w:rFonts w:asciiTheme="minorHAnsi" w:hAnsiTheme="minorHAnsi"/>
                <w:b w:val="0"/>
                <w:i w:val="0"/>
                <w:sz w:val="23"/>
                <w:szCs w:val="23"/>
              </w:rPr>
              <w:t>DDS</w:t>
            </w:r>
          </w:p>
        </w:tc>
      </w:tr>
    </w:tbl>
    <w:p w:rsidR="00A42664" w:rsidRDefault="00A42664" w:rsidP="00A42664">
      <w:pPr>
        <w:pStyle w:val="Default"/>
        <w:spacing w:line="240" w:lineRule="auto"/>
        <w:contextualSpacing/>
        <w:rPr>
          <w:rFonts w:asciiTheme="minorHAnsi" w:hAnsiTheme="minorHAnsi"/>
          <w:sz w:val="23"/>
          <w:szCs w:val="23"/>
        </w:rPr>
      </w:pPr>
    </w:p>
    <w:p w:rsidR="00A42664" w:rsidRDefault="00A42664" w:rsidP="002543D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2543DB" w:rsidRPr="00F37FA6" w:rsidRDefault="002543DB" w:rsidP="002543DB">
      <w:pPr>
        <w:pStyle w:val="Default"/>
        <w:contextualSpacing/>
        <w:jc w:val="both"/>
        <w:rPr>
          <w:sz w:val="22"/>
          <w:szCs w:val="22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Description</w:t>
      </w:r>
    </w:p>
    <w:p w:rsidR="0026211A" w:rsidRPr="00D51277" w:rsidRDefault="00F95893" w:rsidP="0026211A">
      <w:pPr>
        <w:pStyle w:val="Default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51277">
        <w:rPr>
          <w:rFonts w:asciiTheme="minorHAnsi" w:hAnsiTheme="minorHAnsi" w:cstheme="minorHAnsi"/>
          <w:noProof/>
          <w:sz w:val="22"/>
          <w:szCs w:val="22"/>
          <w:lang w:val="en-CA" w:eastAsia="en-CA" w:bidi="ar-SA"/>
        </w:rPr>
        <w:drawing>
          <wp:anchor distT="0" distB="0" distL="114300" distR="114300" simplePos="0" relativeHeight="251658240" behindDoc="0" locked="0" layoutInCell="1" allowOverlap="1" wp14:anchorId="7CC2144B" wp14:editId="3C91826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98880" cy="1319530"/>
            <wp:effectExtent l="0" t="0" r="1270" b="0"/>
            <wp:wrapSquare wrapText="bothSides"/>
            <wp:docPr id="1" name="Picture 1" descr="https://www.for.gov.bc.ca/hfp/publications/00198/201%20to%20250/fig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201%20to%20250/fig2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664" w:rsidRPr="00D51277">
        <w:rPr>
          <w:rFonts w:asciiTheme="minorHAnsi" w:hAnsiTheme="minorHAnsi" w:cstheme="minorHAnsi"/>
          <w:b/>
          <w:sz w:val="22"/>
          <w:szCs w:val="22"/>
        </w:rPr>
        <w:t>Brown crumbly rot</w:t>
      </w:r>
      <w:r w:rsidR="00A42664" w:rsidRPr="00D51277">
        <w:rPr>
          <w:rFonts w:asciiTheme="minorHAnsi" w:hAnsiTheme="minorHAnsi" w:cstheme="minorHAnsi"/>
          <w:sz w:val="22"/>
          <w:szCs w:val="22"/>
        </w:rPr>
        <w:t xml:space="preserve"> commonly occurs on a wide range of deciduous and coniferous hosts.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="00A42664" w:rsidRPr="00D51277">
        <w:rPr>
          <w:rFonts w:asciiTheme="minorHAnsi" w:hAnsiTheme="minorHAnsi" w:cstheme="minorHAnsi"/>
          <w:sz w:val="22"/>
          <w:szCs w:val="22"/>
        </w:rPr>
        <w:t xml:space="preserve">Coniferous hosts include all true firs, </w:t>
      </w:r>
      <w:proofErr w:type="spellStart"/>
      <w:r w:rsidR="00A42664" w:rsidRPr="00D51277">
        <w:rPr>
          <w:rFonts w:asciiTheme="minorHAnsi" w:hAnsiTheme="minorHAnsi" w:cstheme="minorHAnsi"/>
          <w:sz w:val="22"/>
          <w:szCs w:val="22"/>
        </w:rPr>
        <w:t>Englemann</w:t>
      </w:r>
      <w:proofErr w:type="spellEnd"/>
      <w:r w:rsidR="00A42664" w:rsidRPr="00D51277">
        <w:rPr>
          <w:rFonts w:asciiTheme="minorHAnsi" w:hAnsiTheme="minorHAnsi" w:cstheme="minorHAnsi"/>
          <w:sz w:val="22"/>
          <w:szCs w:val="22"/>
        </w:rPr>
        <w:t xml:space="preserve">, white and Sitka spruce, </w:t>
      </w:r>
      <w:proofErr w:type="spellStart"/>
      <w:r w:rsidR="00A42664" w:rsidRPr="00D51277">
        <w:rPr>
          <w:rFonts w:asciiTheme="minorHAnsi" w:hAnsiTheme="minorHAnsi" w:cstheme="minorHAnsi"/>
          <w:sz w:val="22"/>
          <w:szCs w:val="22"/>
        </w:rPr>
        <w:t>lodgepole</w:t>
      </w:r>
      <w:proofErr w:type="spellEnd"/>
      <w:r w:rsidR="00A42664" w:rsidRPr="00D51277">
        <w:rPr>
          <w:rFonts w:asciiTheme="minorHAnsi" w:hAnsiTheme="minorHAnsi" w:cstheme="minorHAnsi"/>
          <w:sz w:val="22"/>
          <w:szCs w:val="22"/>
        </w:rPr>
        <w:t xml:space="preserve">, western white and ponderosa pine, Douglas-fir, western </w:t>
      </w:r>
      <w:proofErr w:type="spellStart"/>
      <w:r w:rsidR="00A42664" w:rsidRPr="00D51277">
        <w:rPr>
          <w:rFonts w:asciiTheme="minorHAnsi" w:hAnsiTheme="minorHAnsi" w:cstheme="minorHAnsi"/>
          <w:sz w:val="22"/>
          <w:szCs w:val="22"/>
        </w:rPr>
        <w:t>redcedar</w:t>
      </w:r>
      <w:proofErr w:type="spellEnd"/>
      <w:r w:rsidR="00A42664" w:rsidRPr="00D51277">
        <w:rPr>
          <w:rFonts w:asciiTheme="minorHAnsi" w:hAnsiTheme="minorHAnsi" w:cstheme="minorHAnsi"/>
          <w:sz w:val="22"/>
          <w:szCs w:val="22"/>
        </w:rPr>
        <w:t xml:space="preserve">, all hemlocks, and western larch.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="00A42664" w:rsidRPr="00D51277">
        <w:rPr>
          <w:rFonts w:asciiTheme="minorHAnsi" w:hAnsiTheme="minorHAnsi" w:cstheme="minorHAnsi"/>
          <w:sz w:val="22"/>
          <w:szCs w:val="22"/>
        </w:rPr>
        <w:t xml:space="preserve">This fungus is most common on dead trees, stumps or logs, but it can gain entry to living trees through wounds, holes bored by insects or dwarf mistletoe infections.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="00A42664" w:rsidRPr="00D51277">
        <w:rPr>
          <w:rFonts w:asciiTheme="minorHAnsi" w:hAnsiTheme="minorHAnsi" w:cstheme="minorHAnsi"/>
          <w:sz w:val="22"/>
          <w:szCs w:val="22"/>
        </w:rPr>
        <w:t xml:space="preserve">The fungus is commonly associated with wounds, dead tops and dead trees.  Brown crumbly rot is one of the most damaging and frequently occurring wound parasites in old-growth forests.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="00A42664" w:rsidRPr="00D51277">
        <w:rPr>
          <w:rFonts w:asciiTheme="minorHAnsi" w:hAnsiTheme="minorHAnsi" w:cstheme="minorHAnsi"/>
          <w:sz w:val="22"/>
          <w:szCs w:val="22"/>
        </w:rPr>
        <w:t xml:space="preserve">The presence of conks indicates extensive decay.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="00A42664" w:rsidRPr="00D51277">
        <w:rPr>
          <w:rFonts w:asciiTheme="minorHAnsi" w:hAnsiTheme="minorHAnsi" w:cstheme="minorHAnsi"/>
          <w:sz w:val="22"/>
          <w:szCs w:val="22"/>
        </w:rPr>
        <w:t xml:space="preserve">Second-growth trees can also be infected, making them subject to breakage and </w:t>
      </w:r>
      <w:proofErr w:type="spellStart"/>
      <w:r w:rsidR="00A42664" w:rsidRPr="00D51277">
        <w:rPr>
          <w:rFonts w:asciiTheme="minorHAnsi" w:hAnsiTheme="minorHAnsi" w:cstheme="minorHAnsi"/>
          <w:sz w:val="22"/>
          <w:szCs w:val="22"/>
        </w:rPr>
        <w:t>windthrow</w:t>
      </w:r>
      <w:proofErr w:type="spellEnd"/>
      <w:r w:rsidR="00A42664" w:rsidRPr="00D51277">
        <w:rPr>
          <w:rFonts w:asciiTheme="minorHAnsi" w:hAnsiTheme="minorHAnsi" w:cstheme="minorHAnsi"/>
          <w:sz w:val="22"/>
          <w:szCs w:val="22"/>
        </w:rPr>
        <w:t>.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="00A42664" w:rsidRPr="00D51277">
        <w:rPr>
          <w:rFonts w:asciiTheme="minorHAnsi" w:hAnsiTheme="minorHAnsi" w:cstheme="minorHAnsi"/>
          <w:sz w:val="22"/>
          <w:szCs w:val="22"/>
        </w:rPr>
        <w:t xml:space="preserve"> The major role of this fungus is degrading and decomposing trees killed by other agents.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="00A42664" w:rsidRPr="00D51277">
        <w:rPr>
          <w:rFonts w:asciiTheme="minorHAnsi" w:hAnsiTheme="minorHAnsi" w:cstheme="minorHAnsi"/>
          <w:sz w:val="22"/>
          <w:szCs w:val="22"/>
        </w:rPr>
        <w:t>This role is an important one in the forest for recycling and removing dead woody debris. Both heartwood and sapwood are decayed.</w:t>
      </w:r>
    </w:p>
    <w:p w:rsidR="00A42664" w:rsidRPr="00D51277" w:rsidRDefault="00A42664" w:rsidP="0026211A">
      <w:pPr>
        <w:pStyle w:val="Default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:rsidR="00A42664" w:rsidRPr="00D51277" w:rsidRDefault="00F95893" w:rsidP="00F95893">
      <w:pPr>
        <w:pStyle w:val="Default"/>
        <w:contextualSpacing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51277">
        <w:rPr>
          <w:rFonts w:asciiTheme="minorHAnsi" w:hAnsiTheme="minorHAnsi" w:cstheme="minorHAnsi"/>
          <w:noProof/>
          <w:sz w:val="22"/>
          <w:szCs w:val="22"/>
          <w:lang w:val="en-CA" w:eastAsia="en-CA" w:bidi="ar-SA"/>
        </w:rPr>
        <w:drawing>
          <wp:anchor distT="0" distB="0" distL="114300" distR="114300" simplePos="0" relativeHeight="251659264" behindDoc="0" locked="0" layoutInCell="1" allowOverlap="1" wp14:anchorId="354548C5" wp14:editId="3E0577BF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1144905" cy="818515"/>
            <wp:effectExtent l="0" t="0" r="0" b="635"/>
            <wp:wrapSquare wrapText="bothSides"/>
            <wp:docPr id="2" name="Picture 2" descr="https://www.for.gov.bc.ca/hfp/publications/00198/201%20to%20250/fig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or.gov.bc.ca/hfp/publications/00198/201%20to%20250/fig2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277">
        <w:rPr>
          <w:rFonts w:asciiTheme="minorHAnsi" w:hAnsiTheme="minorHAnsi" w:cstheme="minorHAnsi"/>
          <w:b/>
          <w:sz w:val="22"/>
          <w:szCs w:val="22"/>
        </w:rPr>
        <w:t>Brown stringy trunk rot</w:t>
      </w:r>
      <w:r w:rsidRPr="00D51277">
        <w:rPr>
          <w:rFonts w:asciiTheme="minorHAnsi" w:hAnsiTheme="minorHAnsi" w:cstheme="minorHAnsi"/>
          <w:sz w:val="22"/>
          <w:szCs w:val="22"/>
        </w:rPr>
        <w:t>:  True firs are highly susceptible throughout BC.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 Hemlock is moderately to severely attacked in specific habitats such as interior forests (usually related to snow damage), high elevation coastal forests and below average sites.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 Douglas-fir and spruce are occasionally attacked.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 It may occur on western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redcedar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Mature trees with small, suppressed dead branches and stubs are most susceptible.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>The fungus is not associated with wounds though the initiation of infection may be precipitated by mechanical damage.  The conks are reliable indicators of significant decay.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 The entire cross section of the log is usually decayed 4 - 6 m above and 2 - 4 m below one of these fruiting bodies.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>Decay may also be present in trees that do not have conks.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 Heart rot and associated volume losses in mature hemlock and true firs are primarily caused by brown stringy trunk rot.</w:t>
      </w:r>
    </w:p>
    <w:p w:rsidR="00F95893" w:rsidRPr="00D51277" w:rsidRDefault="00F95893" w:rsidP="0026211A">
      <w:pPr>
        <w:pStyle w:val="Default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:rsidR="00F95893" w:rsidRPr="00D51277" w:rsidRDefault="00F95893" w:rsidP="0026211A">
      <w:pPr>
        <w:pStyle w:val="Default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51277">
        <w:rPr>
          <w:rFonts w:asciiTheme="minorHAnsi" w:hAnsiTheme="minorHAnsi" w:cstheme="minorHAnsi"/>
          <w:noProof/>
          <w:sz w:val="22"/>
          <w:szCs w:val="22"/>
          <w:lang w:val="en-CA" w:eastAsia="en-CA" w:bidi="ar-SA"/>
        </w:rPr>
        <w:drawing>
          <wp:anchor distT="0" distB="0" distL="114300" distR="114300" simplePos="0" relativeHeight="251660288" behindDoc="0" locked="0" layoutInCell="1" allowOverlap="1" wp14:anchorId="72CFAD7B" wp14:editId="243F3262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1209040" cy="874395"/>
            <wp:effectExtent l="0" t="0" r="0" b="1905"/>
            <wp:wrapSquare wrapText="bothSides"/>
            <wp:docPr id="3" name="Picture 3" descr="https://www.for.gov.bc.ca/hfp/publications/00198/201%20to%20250/fig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for.gov.bc.ca/hfp/publications/00198/201%20to%20250/fig2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277">
        <w:rPr>
          <w:rFonts w:asciiTheme="minorHAnsi" w:hAnsiTheme="minorHAnsi" w:cstheme="minorHAnsi"/>
          <w:b/>
          <w:sz w:val="22"/>
          <w:szCs w:val="22"/>
        </w:rPr>
        <w:t xml:space="preserve">Red ring rot:  </w:t>
      </w:r>
      <w:r w:rsidRPr="00D51277">
        <w:rPr>
          <w:rFonts w:asciiTheme="minorHAnsi" w:hAnsiTheme="minorHAnsi" w:cstheme="minorHAnsi"/>
          <w:sz w:val="22"/>
          <w:szCs w:val="22"/>
        </w:rPr>
        <w:t xml:space="preserve">Western hemlock, pine, spruce, western larch, Douglas-fir and western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redcedar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 are common hosts of this true heart rot decay fungus.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Red ring rot has also been reported on the true firs, yellow cedar and mountain hemlock.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This fungus attacks living, dead or down trees.  Decay by this fungus causes both a loss of volume and a decrease in the grade of milled products.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Less commonly, red ring rot can even progress from the heartwood to the sapwood and cause tree death.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Losses in B.C. probably exceed the other heart-rots in value due to the broad host range and </w:t>
      </w:r>
      <w:r w:rsidRPr="00D51277">
        <w:rPr>
          <w:rFonts w:asciiTheme="minorHAnsi" w:hAnsiTheme="minorHAnsi" w:cstheme="minorHAnsi"/>
          <w:sz w:val="22"/>
          <w:szCs w:val="22"/>
        </w:rPr>
        <w:lastRenderedPageBreak/>
        <w:t xml:space="preserve">common occurrence of the fungus.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When conks are present the extent of the decay is very large passing several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metres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 beyond that last visible conk.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>Tree collapse or breakage is common with this fungus.</w:t>
      </w:r>
    </w:p>
    <w:p w:rsidR="00F95893" w:rsidRPr="00D51277" w:rsidRDefault="00F95893" w:rsidP="0026211A">
      <w:pPr>
        <w:pStyle w:val="Default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:rsidR="00F95893" w:rsidRPr="00D51277" w:rsidRDefault="00F95893" w:rsidP="0026211A">
      <w:pPr>
        <w:pStyle w:val="Default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51277">
        <w:rPr>
          <w:rFonts w:asciiTheme="minorHAnsi" w:hAnsiTheme="minorHAnsi" w:cstheme="minorHAnsi"/>
          <w:noProof/>
          <w:sz w:val="22"/>
          <w:szCs w:val="22"/>
          <w:lang w:val="en-CA" w:eastAsia="en-CA" w:bidi="ar-SA"/>
        </w:rPr>
        <w:drawing>
          <wp:anchor distT="0" distB="0" distL="114300" distR="114300" simplePos="0" relativeHeight="251661312" behindDoc="0" locked="0" layoutInCell="1" allowOverlap="1" wp14:anchorId="277CA641" wp14:editId="7402DE7B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1256030" cy="1089025"/>
            <wp:effectExtent l="0" t="0" r="1270" b="0"/>
            <wp:wrapSquare wrapText="bothSides"/>
            <wp:docPr id="4" name="Picture 4" descr="https://www.for.gov.bc.ca/hfp/publications/00198/201%20to%20250/fig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201%20to%20250/fig2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51277">
        <w:rPr>
          <w:rFonts w:asciiTheme="minorHAnsi" w:hAnsiTheme="minorHAnsi" w:cstheme="minorHAnsi"/>
          <w:b/>
          <w:sz w:val="22"/>
          <w:szCs w:val="22"/>
        </w:rPr>
        <w:t>Schweinitzii</w:t>
      </w:r>
      <w:proofErr w:type="spellEnd"/>
      <w:r w:rsidRPr="00D51277">
        <w:rPr>
          <w:rFonts w:asciiTheme="minorHAnsi" w:hAnsiTheme="minorHAnsi" w:cstheme="minorHAnsi"/>
          <w:b/>
          <w:sz w:val="22"/>
          <w:szCs w:val="22"/>
        </w:rPr>
        <w:t xml:space="preserve"> butt rot:</w:t>
      </w:r>
      <w:r w:rsidRPr="00D51277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Schweinitzii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 butt rot is commonly reported on Douglas-fir, ponderosa pine and western hemlock.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 It has also been found on subalpine and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amabilis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 fir, Sitka and white spruce, western larch, tamarack,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lodgepole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 and western white pine, western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redcedar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, and Garry oak.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This fungus infects mature trees, and is occasionally found on young trees. 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Schweinitzii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 butt rot often extends 3m up a tree stem.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Since the highest quality and value of a tree is in the basal log, this disease causes serious losses.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r w:rsidRPr="00D51277">
        <w:rPr>
          <w:rFonts w:asciiTheme="minorHAnsi" w:hAnsiTheme="minorHAnsi" w:cstheme="minorHAnsi"/>
          <w:sz w:val="22"/>
          <w:szCs w:val="22"/>
        </w:rPr>
        <w:t xml:space="preserve">Rotting of the roots and butt also leaves trees highly susceptible to </w:t>
      </w:r>
      <w:proofErr w:type="spellStart"/>
      <w:r w:rsidRPr="00D51277">
        <w:rPr>
          <w:rFonts w:asciiTheme="minorHAnsi" w:hAnsiTheme="minorHAnsi" w:cstheme="minorHAnsi"/>
          <w:sz w:val="22"/>
          <w:szCs w:val="22"/>
        </w:rPr>
        <w:t>windthrow</w:t>
      </w:r>
      <w:proofErr w:type="spellEnd"/>
      <w:r w:rsidRPr="00D51277">
        <w:rPr>
          <w:rFonts w:asciiTheme="minorHAnsi" w:hAnsiTheme="minorHAnsi" w:cstheme="minorHAnsi"/>
          <w:sz w:val="22"/>
          <w:szCs w:val="22"/>
        </w:rPr>
        <w:t xml:space="preserve"> and breakage. </w:t>
      </w:r>
      <w:r w:rsidR="00D51277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GoBack"/>
      <w:bookmarkEnd w:id="1"/>
      <w:r w:rsidRPr="00D51277">
        <w:rPr>
          <w:rFonts w:asciiTheme="minorHAnsi" w:hAnsiTheme="minorHAnsi" w:cstheme="minorHAnsi"/>
          <w:sz w:val="22"/>
          <w:szCs w:val="22"/>
        </w:rPr>
        <w:t>In BC losses are most severe in Douglas-fir and Sitka spruce.</w:t>
      </w:r>
    </w:p>
    <w:p w:rsidR="00F95893" w:rsidRPr="00D51277" w:rsidRDefault="00F95893" w:rsidP="0026211A">
      <w:pPr>
        <w:pStyle w:val="Default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:rsidR="002543DB" w:rsidRDefault="002543DB" w:rsidP="0026211A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Extent</w:t>
      </w:r>
    </w:p>
    <w:p w:rsidR="002543DB" w:rsidRPr="000F7DE6" w:rsidRDefault="002543DB" w:rsidP="00F95893">
      <w:pPr>
        <w:pStyle w:val="Default"/>
        <w:spacing w:after="0" w:line="240" w:lineRule="auto"/>
        <w:jc w:val="both"/>
      </w:pPr>
      <w:r w:rsidRPr="00247ADA">
        <w:rPr>
          <w:sz w:val="23"/>
          <w:szCs w:val="23"/>
        </w:rPr>
        <w:t xml:space="preserve">Heart rots are a low priority forest health factor in the Bulkley and </w:t>
      </w:r>
      <w:proofErr w:type="spellStart"/>
      <w:r w:rsidRPr="00247ADA">
        <w:rPr>
          <w:sz w:val="23"/>
          <w:szCs w:val="23"/>
        </w:rPr>
        <w:t>Cassi</w:t>
      </w:r>
      <w:r w:rsidRPr="00247ADA">
        <w:t>ar</w:t>
      </w:r>
      <w:proofErr w:type="spellEnd"/>
      <w:r w:rsidRPr="00247ADA">
        <w:t xml:space="preserve"> TSAs.  Mature and over-</w:t>
      </w:r>
      <w:r w:rsidRPr="000F7DE6">
        <w:t>mature stands of spruce affected by these rot</w:t>
      </w:r>
      <w:r>
        <w:t>s</w:t>
      </w:r>
      <w:r w:rsidRPr="000F7DE6">
        <w:t xml:space="preserve"> are often mistaken for stands infected by </w:t>
      </w:r>
      <w:proofErr w:type="spellStart"/>
      <w:r w:rsidRPr="000F7DE6">
        <w:t>Tomentosus</w:t>
      </w:r>
      <w:proofErr w:type="spellEnd"/>
      <w:r w:rsidRPr="000F7DE6">
        <w:t xml:space="preserve"> root disease.  There is no known relationship between mature stand infections and subsequent risk to plantations.  Heart rots are subject to </w:t>
      </w:r>
      <w:proofErr w:type="spellStart"/>
      <w:r w:rsidRPr="000F7DE6">
        <w:t>windthrow</w:t>
      </w:r>
      <w:proofErr w:type="spellEnd"/>
      <w:r w:rsidRPr="000F7DE6">
        <w:t xml:space="preserve"> events.  The losses resulting from brown crumbly butt rot are accounted for in the current </w:t>
      </w:r>
      <w:r>
        <w:t>decay, waste and breakage factors.</w:t>
      </w:r>
    </w:p>
    <w:p w:rsidR="002543DB" w:rsidRPr="00916D21" w:rsidRDefault="002543DB" w:rsidP="00F95893">
      <w:pPr>
        <w:pStyle w:val="BodyText"/>
        <w:spacing w:after="0"/>
        <w:jc w:val="both"/>
        <w:rPr>
          <w:rFonts w:ascii="Calibri" w:hAnsi="Calibri" w:cs="Calibri"/>
          <w:color w:val="000000"/>
          <w:lang w:eastAsia="en-CA"/>
        </w:rPr>
      </w:pPr>
      <w:r>
        <w:rPr>
          <w:rFonts w:ascii="Calibri" w:hAnsi="Calibri" w:cs="Calibri"/>
          <w:color w:val="000000"/>
          <w:lang w:eastAsia="en-CA"/>
        </w:rPr>
        <w:t>Stem d</w:t>
      </w:r>
      <w:r w:rsidRPr="00916D21">
        <w:rPr>
          <w:rFonts w:ascii="Calibri" w:hAnsi="Calibri" w:cs="Calibri"/>
          <w:color w:val="000000"/>
          <w:lang w:eastAsia="en-CA"/>
        </w:rPr>
        <w:t xml:space="preserve">ecay fungi are a </w:t>
      </w:r>
      <w:r>
        <w:rPr>
          <w:rFonts w:ascii="Calibri" w:hAnsi="Calibri" w:cs="Calibri"/>
          <w:color w:val="000000"/>
          <w:lang w:eastAsia="en-CA"/>
        </w:rPr>
        <w:t>moderate</w:t>
      </w:r>
      <w:r w:rsidRPr="00916D21">
        <w:rPr>
          <w:rFonts w:ascii="Calibri" w:hAnsi="Calibri" w:cs="Calibri"/>
          <w:color w:val="000000"/>
          <w:lang w:eastAsia="en-CA"/>
        </w:rPr>
        <w:t xml:space="preserve"> forest health factor in the </w:t>
      </w:r>
      <w:proofErr w:type="spellStart"/>
      <w:r w:rsidRPr="00916D21">
        <w:rPr>
          <w:rFonts w:ascii="Calibri" w:hAnsi="Calibri" w:cs="Calibri"/>
          <w:color w:val="000000"/>
          <w:lang w:eastAsia="en-CA"/>
        </w:rPr>
        <w:t>Kispiox</w:t>
      </w:r>
      <w:proofErr w:type="spellEnd"/>
      <w:r>
        <w:rPr>
          <w:rFonts w:ascii="Calibri" w:hAnsi="Calibri" w:cs="Calibri"/>
          <w:color w:val="000000"/>
          <w:lang w:eastAsia="en-CA"/>
        </w:rPr>
        <w:t xml:space="preserve"> TSA</w:t>
      </w:r>
      <w:r w:rsidRPr="00916D21">
        <w:rPr>
          <w:rFonts w:ascii="Calibri" w:hAnsi="Calibri" w:cs="Calibri"/>
          <w:color w:val="000000"/>
          <w:lang w:eastAsia="en-CA"/>
        </w:rPr>
        <w:t>, due primarily to the abundance of over-mature western hemlock and true firs.  A thorough review of the decay</w:t>
      </w:r>
      <w:r>
        <w:rPr>
          <w:rFonts w:ascii="Calibri" w:hAnsi="Calibri" w:cs="Calibri"/>
          <w:color w:val="000000"/>
          <w:lang w:eastAsia="en-CA"/>
        </w:rPr>
        <w:t xml:space="preserve">, </w:t>
      </w:r>
      <w:r w:rsidRPr="00916D21">
        <w:rPr>
          <w:rFonts w:ascii="Calibri" w:hAnsi="Calibri" w:cs="Calibri"/>
          <w:color w:val="000000"/>
          <w:lang w:eastAsia="en-CA"/>
        </w:rPr>
        <w:t>waste and breakage factors for the TSA could have significant implications for timber supply forecasts.</w:t>
      </w:r>
    </w:p>
    <w:p w:rsidR="002543DB" w:rsidRDefault="002543DB" w:rsidP="00F95893">
      <w:pPr>
        <w:pStyle w:val="Default"/>
        <w:spacing w:after="0" w:line="240" w:lineRule="auto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2543DB" w:rsidRDefault="002543DB" w:rsidP="0026211A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Data</w:t>
      </w:r>
    </w:p>
    <w:p w:rsidR="002543DB" w:rsidRDefault="002543DB" w:rsidP="0026211A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2543DB" w:rsidRDefault="002543DB" w:rsidP="0026211A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2543DB" w:rsidRDefault="002543DB" w:rsidP="0026211A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Tactics</w:t>
      </w:r>
    </w:p>
    <w:p w:rsidR="002543DB" w:rsidRDefault="002543DB" w:rsidP="002543DB">
      <w:pPr>
        <w:pStyle w:val="Default"/>
        <w:numPr>
          <w:ilvl w:val="0"/>
          <w:numId w:val="2"/>
        </w:numPr>
        <w:spacing w:after="0" w:line="240" w:lineRule="auto"/>
        <w:jc w:val="both"/>
      </w:pPr>
      <w:r w:rsidRPr="000F7DE6">
        <w:t xml:space="preserve">Incidence levels should continue to be monitored and their priority reassessed at the annual review stage. </w:t>
      </w:r>
    </w:p>
    <w:p w:rsidR="002543DB" w:rsidRPr="00247ADA" w:rsidRDefault="002543DB" w:rsidP="0026211A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sectPr w:rsidR="002543DB" w:rsidRPr="00247A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005C1"/>
    <w:multiLevelType w:val="hybridMultilevel"/>
    <w:tmpl w:val="1318C5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11A"/>
    <w:rsid w:val="00202D3A"/>
    <w:rsid w:val="002543DB"/>
    <w:rsid w:val="0026211A"/>
    <w:rsid w:val="00A42664"/>
    <w:rsid w:val="00D51277"/>
    <w:rsid w:val="00F9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11A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11A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11A"/>
    <w:pPr>
      <w:keepNext/>
      <w:numPr>
        <w:ilvl w:val="2"/>
        <w:numId w:val="1"/>
      </w:numPr>
      <w:pBdr>
        <w:bottom w:val="single" w:sz="4" w:space="1" w:color="auto"/>
      </w:pBd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211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211A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211A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211A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211A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211A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11A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26211A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26211A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26211A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26211A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26211A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26211A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26211A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26211A"/>
    <w:rPr>
      <w:rFonts w:asciiTheme="majorHAnsi" w:eastAsiaTheme="majorEastAsia" w:hAnsiTheme="majorHAnsi" w:cstheme="majorBidi"/>
      <w:lang w:val="en-US" w:bidi="en-US"/>
    </w:rPr>
  </w:style>
  <w:style w:type="paragraph" w:styleId="BodyText">
    <w:name w:val="Body Text"/>
    <w:basedOn w:val="Normal"/>
    <w:link w:val="BodyTextChar"/>
    <w:rsid w:val="0026211A"/>
    <w:pPr>
      <w:spacing w:before="240" w:after="12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26211A"/>
    <w:rPr>
      <w:rFonts w:eastAsiaTheme="minorEastAsia" w:cs="Times New Roman"/>
      <w:sz w:val="24"/>
      <w:szCs w:val="24"/>
      <w:lang w:val="en-US" w:bidi="en-US"/>
    </w:rPr>
  </w:style>
  <w:style w:type="paragraph" w:customStyle="1" w:styleId="Default">
    <w:name w:val="Default"/>
    <w:rsid w:val="0026211A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table" w:styleId="TableGrid">
    <w:name w:val="Table Grid"/>
    <w:basedOn w:val="TableNormal"/>
    <w:uiPriority w:val="59"/>
    <w:rsid w:val="00A42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5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8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11A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11A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11A"/>
    <w:pPr>
      <w:keepNext/>
      <w:numPr>
        <w:ilvl w:val="2"/>
        <w:numId w:val="1"/>
      </w:numPr>
      <w:pBdr>
        <w:bottom w:val="single" w:sz="4" w:space="1" w:color="auto"/>
      </w:pBd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211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211A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211A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211A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211A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211A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11A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26211A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26211A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26211A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26211A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26211A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26211A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26211A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26211A"/>
    <w:rPr>
      <w:rFonts w:asciiTheme="majorHAnsi" w:eastAsiaTheme="majorEastAsia" w:hAnsiTheme="majorHAnsi" w:cstheme="majorBidi"/>
      <w:lang w:val="en-US" w:bidi="en-US"/>
    </w:rPr>
  </w:style>
  <w:style w:type="paragraph" w:styleId="BodyText">
    <w:name w:val="Body Text"/>
    <w:basedOn w:val="Normal"/>
    <w:link w:val="BodyTextChar"/>
    <w:rsid w:val="0026211A"/>
    <w:pPr>
      <w:spacing w:before="240" w:after="12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26211A"/>
    <w:rPr>
      <w:rFonts w:eastAsiaTheme="minorEastAsia" w:cs="Times New Roman"/>
      <w:sz w:val="24"/>
      <w:szCs w:val="24"/>
      <w:lang w:val="en-US" w:bidi="en-US"/>
    </w:rPr>
  </w:style>
  <w:style w:type="paragraph" w:customStyle="1" w:styleId="Default">
    <w:name w:val="Default"/>
    <w:rsid w:val="0026211A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table" w:styleId="TableGrid">
    <w:name w:val="Table Grid"/>
    <w:basedOn w:val="TableNormal"/>
    <w:uiPriority w:val="59"/>
    <w:rsid w:val="00A42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5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5</cp:revision>
  <dcterms:created xsi:type="dcterms:W3CDTF">2015-04-22T20:36:00Z</dcterms:created>
  <dcterms:modified xsi:type="dcterms:W3CDTF">2015-05-01T16:53:00Z</dcterms:modified>
</cp:coreProperties>
</file>